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6D6" w:rsidRDefault="005C2A0B" w:rsidP="005C2A0B">
      <w:hyperlink r:id="rId4" w:history="1">
        <w:r>
          <w:rPr>
            <w:rStyle w:val="Hipervnculo"/>
          </w:rPr>
          <w:t>http://www.granada.org/inet/edictos.nsf/wwtod/A5A5E109A4899F6EC1257C35002E0CD3</w:t>
        </w:r>
      </w:hyperlink>
    </w:p>
    <w:p w:rsidR="005C2A0B" w:rsidRPr="005C2A0B" w:rsidRDefault="005C2A0B" w:rsidP="005C2A0B">
      <w:pPr>
        <w:spacing w:after="0" w:line="240" w:lineRule="auto"/>
        <w:rPr>
          <w:rFonts w:ascii="Times New Roman" w:eastAsia="Times New Roman" w:hAnsi="Times New Roman" w:cs="Times New Roman"/>
          <w:sz w:val="24"/>
          <w:szCs w:val="24"/>
          <w:lang w:eastAsia="es-ES"/>
        </w:rPr>
      </w:pPr>
    </w:p>
    <w:p w:rsidR="005C2A0B" w:rsidRPr="005C2A0B" w:rsidRDefault="005C2A0B" w:rsidP="005C2A0B">
      <w:pPr>
        <w:spacing w:after="0" w:line="292" w:lineRule="atLeast"/>
        <w:outlineLvl w:val="1"/>
        <w:rPr>
          <w:rFonts w:ascii="Arial" w:eastAsia="Times New Roman" w:hAnsi="Arial" w:cs="Arial"/>
          <w:b/>
          <w:bCs/>
          <w:color w:val="000000"/>
          <w:sz w:val="20"/>
          <w:szCs w:val="20"/>
          <w:lang w:eastAsia="es-ES"/>
        </w:rPr>
      </w:pPr>
      <w:r w:rsidRPr="005C2A0B">
        <w:rPr>
          <w:rFonts w:ascii="Arial" w:eastAsia="Times New Roman" w:hAnsi="Arial" w:cs="Arial"/>
          <w:b/>
          <w:bCs/>
          <w:color w:val="000000"/>
          <w:sz w:val="20"/>
          <w:szCs w:val="20"/>
          <w:lang w:eastAsia="es-ES"/>
        </w:rPr>
        <w:t>Entidad: </w:t>
      </w:r>
      <w:hyperlink r:id="rId5" w:history="1">
        <w:r w:rsidRPr="005C2A0B">
          <w:rPr>
            <w:rFonts w:ascii="Arial" w:eastAsia="Times New Roman" w:hAnsi="Arial" w:cs="Arial"/>
            <w:b/>
            <w:bCs/>
            <w:color w:val="3377CC"/>
            <w:sz w:val="20"/>
            <w:szCs w:val="20"/>
            <w:u w:val="single"/>
            <w:lang w:eastAsia="es-ES"/>
          </w:rPr>
          <w:t>Ayuntamiento de Granada(Urbanismo, Obras y Licencias)</w:t>
        </w:r>
        <w:r w:rsidRPr="005C2A0B">
          <w:rPr>
            <w:rFonts w:ascii="Arial" w:eastAsia="Times New Roman" w:hAnsi="Arial" w:cs="Arial"/>
            <w:b/>
            <w:bCs/>
            <w:color w:val="3377CC"/>
            <w:sz w:val="20"/>
            <w:szCs w:val="20"/>
            <w:lang w:eastAsia="es-ES"/>
          </w:rPr>
          <w:t> </w:t>
        </w:r>
        <w:r w:rsidRPr="005C2A0B">
          <w:rPr>
            <w:rFonts w:ascii="Arial" w:eastAsia="Times New Roman" w:hAnsi="Arial" w:cs="Arial"/>
            <w:b/>
            <w:bCs/>
            <w:noProof/>
            <w:color w:val="3377CC"/>
            <w:sz w:val="20"/>
            <w:szCs w:val="20"/>
            <w:lang w:eastAsia="es-ES"/>
          </w:rPr>
          <w:drawing>
            <wp:inline distT="0" distB="0" distL="0" distR="0" wp14:anchorId="6FA46832" wp14:editId="69BCE9A2">
              <wp:extent cx="83820" cy="83820"/>
              <wp:effectExtent l="0" t="0" r="0" b="0"/>
              <wp:docPr id="1" name="Imagen 1" descr="Otros edictos de esta entida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tros edictos de esta entidad">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820" cy="83820"/>
                      </a:xfrm>
                      <a:prstGeom prst="rect">
                        <a:avLst/>
                      </a:prstGeom>
                      <a:noFill/>
                      <a:ln>
                        <a:noFill/>
                      </a:ln>
                    </pic:spPr>
                  </pic:pic>
                </a:graphicData>
              </a:graphic>
            </wp:inline>
          </w:drawing>
        </w:r>
      </w:hyperlink>
    </w:p>
    <w:p w:rsidR="005C2A0B" w:rsidRPr="005C2A0B" w:rsidRDefault="005C2A0B" w:rsidP="005C2A0B">
      <w:pPr>
        <w:spacing w:after="0" w:line="292" w:lineRule="atLeast"/>
        <w:rPr>
          <w:rFonts w:ascii="Arial" w:eastAsia="Times New Roman" w:hAnsi="Arial" w:cs="Arial"/>
          <w:b/>
          <w:bCs/>
          <w:color w:val="000000"/>
          <w:sz w:val="20"/>
          <w:szCs w:val="20"/>
          <w:lang w:eastAsia="es-ES"/>
        </w:rPr>
      </w:pPr>
      <w:r w:rsidRPr="005C2A0B">
        <w:rPr>
          <w:rFonts w:ascii="Arial" w:eastAsia="Times New Roman" w:hAnsi="Arial" w:cs="Arial"/>
          <w:b/>
          <w:bCs/>
          <w:color w:val="000000"/>
          <w:sz w:val="20"/>
          <w:szCs w:val="20"/>
          <w:lang w:eastAsia="es-ES"/>
        </w:rPr>
        <w:t>Descatalogación de Casería “La Sartenilla”, aprobación definitiva. Expediente 10.029/12</w:t>
      </w:r>
    </w:p>
    <w:p w:rsidR="005C2A0B" w:rsidRPr="005C2A0B" w:rsidRDefault="005C2A0B" w:rsidP="005C2A0B">
      <w:pPr>
        <w:spacing w:after="0" w:line="292" w:lineRule="atLeast"/>
        <w:rPr>
          <w:rFonts w:ascii="Arial" w:eastAsia="Times New Roman" w:hAnsi="Arial" w:cs="Arial"/>
          <w:color w:val="000000"/>
          <w:sz w:val="20"/>
          <w:szCs w:val="20"/>
          <w:lang w:eastAsia="es-ES"/>
        </w:rPr>
      </w:pPr>
      <w:r w:rsidRPr="005C2A0B">
        <w:rPr>
          <w:rFonts w:ascii="Arial" w:eastAsia="Times New Roman" w:hAnsi="Arial" w:cs="Arial"/>
          <w:b/>
          <w:bCs/>
          <w:color w:val="000000"/>
          <w:sz w:val="20"/>
          <w:szCs w:val="20"/>
          <w:lang w:eastAsia="es-ES"/>
        </w:rPr>
        <w:br/>
      </w:r>
      <w:bookmarkStart w:id="0" w:name="_GoBack"/>
      <w:bookmarkEnd w:id="0"/>
      <w:r w:rsidRPr="005C2A0B">
        <w:rPr>
          <w:rFonts w:ascii="Arial" w:eastAsia="Times New Roman" w:hAnsi="Arial" w:cs="Arial"/>
          <w:b/>
          <w:bCs/>
          <w:color w:val="000000"/>
          <w:sz w:val="20"/>
          <w:szCs w:val="20"/>
          <w:lang w:eastAsia="es-ES"/>
        </w:rPr>
        <w:fldChar w:fldCharType="begin"/>
      </w:r>
      <w:r w:rsidRPr="005C2A0B">
        <w:rPr>
          <w:rFonts w:ascii="Arial" w:eastAsia="Times New Roman" w:hAnsi="Arial" w:cs="Arial"/>
          <w:b/>
          <w:bCs/>
          <w:color w:val="000000"/>
          <w:sz w:val="20"/>
          <w:szCs w:val="20"/>
          <w:lang w:eastAsia="es-ES"/>
        </w:rPr>
        <w:instrText xml:space="preserve"> HYPERLINK "http://www.granada.org/inet/wgr.nsf/boletinnum?openagent&amp;boletin=BOP:2013/230&amp;tipox=x" </w:instrText>
      </w:r>
      <w:r w:rsidRPr="005C2A0B">
        <w:rPr>
          <w:rFonts w:ascii="Arial" w:eastAsia="Times New Roman" w:hAnsi="Arial" w:cs="Arial"/>
          <w:b/>
          <w:bCs/>
          <w:color w:val="000000"/>
          <w:sz w:val="20"/>
          <w:szCs w:val="20"/>
          <w:lang w:eastAsia="es-ES"/>
        </w:rPr>
        <w:fldChar w:fldCharType="separate"/>
      </w:r>
      <w:r w:rsidRPr="005C2A0B">
        <w:rPr>
          <w:rFonts w:ascii="Arial" w:eastAsia="Times New Roman" w:hAnsi="Arial" w:cs="Arial"/>
          <w:b/>
          <w:bCs/>
          <w:color w:val="3377CC"/>
          <w:sz w:val="20"/>
          <w:szCs w:val="20"/>
          <w:u w:val="single"/>
          <w:lang w:eastAsia="es-ES"/>
        </w:rPr>
        <w:t>BOP (02/12/2013)</w:t>
      </w:r>
      <w:r w:rsidRPr="005C2A0B">
        <w:rPr>
          <w:rFonts w:ascii="Arial" w:eastAsia="Times New Roman" w:hAnsi="Arial" w:cs="Arial"/>
          <w:b/>
          <w:bCs/>
          <w:color w:val="000000"/>
          <w:sz w:val="20"/>
          <w:szCs w:val="20"/>
          <w:lang w:eastAsia="es-ES"/>
        </w:rPr>
        <w:fldChar w:fldCharType="end"/>
      </w:r>
      <w:r>
        <w:rPr>
          <w:rFonts w:ascii="Arial" w:eastAsia="Times New Roman" w:hAnsi="Arial" w:cs="Arial"/>
          <w:b/>
          <w:bCs/>
          <w:color w:val="000000"/>
          <w:sz w:val="20"/>
          <w:szCs w:val="20"/>
          <w:lang w:eastAsia="es-ES"/>
        </w:rPr>
        <w:t xml:space="preserve">  </w:t>
      </w:r>
      <w:r w:rsidRPr="005C2A0B">
        <w:rPr>
          <w:rFonts w:ascii="Arial" w:eastAsia="Times New Roman" w:hAnsi="Arial" w:cs="Arial"/>
          <w:b/>
          <w:bCs/>
          <w:color w:val="9D340C"/>
          <w:sz w:val="20"/>
          <w:szCs w:val="20"/>
          <w:lang w:eastAsia="es-ES"/>
        </w:rPr>
        <w:t>Estado: Activo</w:t>
      </w:r>
      <w:r>
        <w:rPr>
          <w:rFonts w:ascii="Arial" w:eastAsia="Times New Roman" w:hAnsi="Arial" w:cs="Arial"/>
          <w:b/>
          <w:bCs/>
          <w:color w:val="9D340C"/>
          <w:sz w:val="20"/>
          <w:szCs w:val="20"/>
          <w:lang w:eastAsia="es-ES"/>
        </w:rPr>
        <w:t xml:space="preserve">     </w:t>
      </w:r>
      <w:r w:rsidRPr="005C2A0B">
        <w:rPr>
          <w:rFonts w:ascii="Arial" w:eastAsia="Times New Roman" w:hAnsi="Arial" w:cs="Arial"/>
          <w:noProof/>
          <w:color w:val="000000"/>
          <w:sz w:val="20"/>
          <w:szCs w:val="20"/>
          <w:lang w:eastAsia="es-ES"/>
        </w:rPr>
        <w:drawing>
          <wp:inline distT="0" distB="0" distL="0" distR="0" wp14:anchorId="113E3609" wp14:editId="515CE5A2">
            <wp:extent cx="236220" cy="381000"/>
            <wp:effectExtent l="0" t="0" r="0" b="0"/>
            <wp:docPr id="2" name="Imagen 2" descr="Ayto.Gr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yto.Granad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220" cy="381000"/>
                    </a:xfrm>
                    <a:prstGeom prst="rect">
                      <a:avLst/>
                    </a:prstGeom>
                    <a:noFill/>
                    <a:ln>
                      <a:noFill/>
                    </a:ln>
                  </pic:spPr>
                </pic:pic>
              </a:graphicData>
            </a:graphic>
          </wp:inline>
        </w:drawing>
      </w:r>
    </w:p>
    <w:p w:rsidR="005C2A0B" w:rsidRPr="005C2A0B" w:rsidRDefault="005C2A0B" w:rsidP="005C2A0B">
      <w:pPr>
        <w:spacing w:after="0" w:line="292" w:lineRule="atLeast"/>
        <w:rPr>
          <w:rFonts w:ascii="Arial" w:eastAsia="Times New Roman" w:hAnsi="Arial" w:cs="Arial"/>
          <w:color w:val="000000"/>
          <w:sz w:val="20"/>
          <w:szCs w:val="20"/>
          <w:lang w:eastAsia="es-ES"/>
        </w:rPr>
      </w:pPr>
      <w:r w:rsidRPr="005C2A0B">
        <w:rPr>
          <w:rFonts w:ascii="Arial" w:eastAsia="Times New Roman" w:hAnsi="Arial" w:cs="Arial"/>
          <w:color w:val="000000"/>
          <w:sz w:val="20"/>
          <w:szCs w:val="20"/>
          <w:lang w:eastAsia="es-ES"/>
        </w:rPr>
        <w:br/>
      </w:r>
      <w:r w:rsidRPr="005C2A0B">
        <w:rPr>
          <w:rFonts w:ascii="Arial" w:eastAsia="Times New Roman" w:hAnsi="Arial" w:cs="Arial"/>
          <w:color w:val="000000"/>
          <w:sz w:val="20"/>
          <w:szCs w:val="20"/>
          <w:lang w:eastAsia="es-ES"/>
        </w:rPr>
        <w:br/>
        <w:t>CONCEJALIA DELEGADA DE URBANISMO, OBRAS Y LICENCIAS SUBDIRECCION DE PLANEAMIENTO </w:t>
      </w:r>
      <w:r w:rsidRPr="005C2A0B">
        <w:rPr>
          <w:rFonts w:ascii="Arial" w:eastAsia="Times New Roman" w:hAnsi="Arial" w:cs="Arial"/>
          <w:color w:val="000000"/>
          <w:sz w:val="20"/>
          <w:szCs w:val="20"/>
          <w:lang w:eastAsia="es-ES"/>
        </w:rPr>
        <w:br/>
      </w:r>
      <w:r w:rsidRPr="005C2A0B">
        <w:rPr>
          <w:rFonts w:ascii="Arial" w:eastAsia="Times New Roman" w:hAnsi="Arial" w:cs="Arial"/>
          <w:color w:val="000000"/>
          <w:sz w:val="20"/>
          <w:szCs w:val="20"/>
          <w:lang w:eastAsia="es-ES"/>
        </w:rPr>
        <w:br/>
        <w:t>Anuncio número 10.366 / 2013</w:t>
      </w:r>
      <w:r w:rsidRPr="005C2A0B">
        <w:rPr>
          <w:rFonts w:ascii="Arial" w:eastAsia="Times New Roman" w:hAnsi="Arial" w:cs="Arial"/>
          <w:color w:val="000000"/>
          <w:sz w:val="20"/>
          <w:szCs w:val="20"/>
          <w:lang w:eastAsia="es-ES"/>
        </w:rPr>
        <w:br/>
      </w:r>
      <w:r w:rsidRPr="005C2A0B">
        <w:rPr>
          <w:rFonts w:ascii="Arial" w:eastAsia="Times New Roman" w:hAnsi="Arial" w:cs="Arial"/>
          <w:color w:val="000000"/>
          <w:sz w:val="20"/>
          <w:szCs w:val="20"/>
          <w:lang w:eastAsia="es-ES"/>
        </w:rPr>
        <w:br/>
        <w:t>Expte. nº 10.029/12. Descatalogación de Casería “La Sartenilla”, aprobación definitiva </w:t>
      </w:r>
      <w:r w:rsidRPr="005C2A0B">
        <w:rPr>
          <w:rFonts w:ascii="Arial" w:eastAsia="Times New Roman" w:hAnsi="Arial" w:cs="Arial"/>
          <w:color w:val="000000"/>
          <w:sz w:val="20"/>
          <w:szCs w:val="20"/>
          <w:lang w:eastAsia="es-ES"/>
        </w:rPr>
        <w:br/>
      </w:r>
      <w:r w:rsidRPr="005C2A0B">
        <w:rPr>
          <w:rFonts w:ascii="Arial" w:eastAsia="Times New Roman" w:hAnsi="Arial" w:cs="Arial"/>
          <w:color w:val="000000"/>
          <w:sz w:val="20"/>
          <w:szCs w:val="20"/>
          <w:lang w:eastAsia="es-ES"/>
        </w:rPr>
        <w:br/>
        <w:t>EDICTO </w:t>
      </w:r>
      <w:r w:rsidRPr="005C2A0B">
        <w:rPr>
          <w:rFonts w:ascii="Arial" w:eastAsia="Times New Roman" w:hAnsi="Arial" w:cs="Arial"/>
          <w:color w:val="000000"/>
          <w:sz w:val="20"/>
          <w:szCs w:val="20"/>
          <w:lang w:eastAsia="es-ES"/>
        </w:rPr>
        <w:br/>
      </w:r>
      <w:r w:rsidRPr="005C2A0B">
        <w:rPr>
          <w:rFonts w:ascii="Arial" w:eastAsia="Times New Roman" w:hAnsi="Arial" w:cs="Arial"/>
          <w:color w:val="000000"/>
          <w:sz w:val="20"/>
          <w:szCs w:val="20"/>
          <w:lang w:eastAsia="es-ES"/>
        </w:rPr>
        <w:br/>
        <w:t>El Alcalde Presidente del Excmo. Ayuntamiento de Granada, </w:t>
      </w:r>
      <w:r w:rsidRPr="005C2A0B">
        <w:rPr>
          <w:rFonts w:ascii="Arial" w:eastAsia="Times New Roman" w:hAnsi="Arial" w:cs="Arial"/>
          <w:color w:val="000000"/>
          <w:sz w:val="20"/>
          <w:szCs w:val="20"/>
          <w:lang w:eastAsia="es-ES"/>
        </w:rPr>
        <w:br/>
      </w:r>
      <w:r w:rsidRPr="005C2A0B">
        <w:rPr>
          <w:rFonts w:ascii="Arial" w:eastAsia="Times New Roman" w:hAnsi="Arial" w:cs="Arial"/>
          <w:color w:val="000000"/>
          <w:sz w:val="20"/>
          <w:szCs w:val="20"/>
          <w:lang w:eastAsia="es-ES"/>
        </w:rPr>
        <w:br/>
        <w:t>HACE SABER: Que una vez se ha procedido al depósito del instrumento de planeamiento en los correspondientes Registros Administrativos (nº Registro Municipal 297), según se señala en el artículo 40.3 de la Ley 7/2002, de 17 de diciembre, de Ordenación Urbanística de Andalucía, el Pleno Municipal en sesión celebrada el pasado día 26 de julio de 2013, adoptó acuerdo por el que se aprueba definitivamente la Innovación puntual de referencia, cuyo tenor literal es el que sigue: </w:t>
      </w:r>
      <w:r w:rsidRPr="005C2A0B">
        <w:rPr>
          <w:rFonts w:ascii="Arial" w:eastAsia="Times New Roman" w:hAnsi="Arial" w:cs="Arial"/>
          <w:color w:val="000000"/>
          <w:sz w:val="20"/>
          <w:szCs w:val="20"/>
          <w:lang w:eastAsia="es-ES"/>
        </w:rPr>
        <w:br/>
      </w:r>
      <w:r w:rsidRPr="005C2A0B">
        <w:rPr>
          <w:rFonts w:ascii="Arial" w:eastAsia="Times New Roman" w:hAnsi="Arial" w:cs="Arial"/>
          <w:color w:val="000000"/>
          <w:sz w:val="20"/>
          <w:szCs w:val="20"/>
          <w:lang w:eastAsia="es-ES"/>
        </w:rPr>
        <w:br/>
        <w:t>“Se presenta a Pleno expediente núm. 10.029/2012 de Urbanismo, Obras y Licencias relativo a Innovación-Modificación Puntual del Plan General de Ordenación Urbanística de Granada para descatalogación de “Casería de la Sartenilla” en calle Luis Miranda Dávalos núm. 2. </w:t>
      </w:r>
      <w:r w:rsidRPr="005C2A0B">
        <w:rPr>
          <w:rFonts w:ascii="Arial" w:eastAsia="Times New Roman" w:hAnsi="Arial" w:cs="Arial"/>
          <w:color w:val="000000"/>
          <w:sz w:val="20"/>
          <w:szCs w:val="20"/>
          <w:lang w:eastAsia="es-ES"/>
        </w:rPr>
        <w:br/>
      </w:r>
      <w:r w:rsidRPr="005C2A0B">
        <w:rPr>
          <w:rFonts w:ascii="Arial" w:eastAsia="Times New Roman" w:hAnsi="Arial" w:cs="Arial"/>
          <w:color w:val="000000"/>
          <w:sz w:val="20"/>
          <w:szCs w:val="20"/>
          <w:lang w:eastAsia="es-ES"/>
        </w:rPr>
        <w:br/>
        <w:t>En el expediente obra informe propuesta del Jefe del Servicio de Planeamiento, visado por el Subdirector de Planeamiento y la Directora General de Urbanismo, en el que se hace constar que: </w:t>
      </w:r>
      <w:r w:rsidRPr="005C2A0B">
        <w:rPr>
          <w:rFonts w:ascii="Arial" w:eastAsia="Times New Roman" w:hAnsi="Arial" w:cs="Arial"/>
          <w:color w:val="000000"/>
          <w:sz w:val="20"/>
          <w:szCs w:val="20"/>
          <w:lang w:eastAsia="es-ES"/>
        </w:rPr>
        <w:br/>
      </w:r>
      <w:r w:rsidRPr="005C2A0B">
        <w:rPr>
          <w:rFonts w:ascii="Arial" w:eastAsia="Times New Roman" w:hAnsi="Arial" w:cs="Arial"/>
          <w:color w:val="000000"/>
          <w:sz w:val="20"/>
          <w:szCs w:val="20"/>
          <w:lang w:eastAsia="es-ES"/>
        </w:rPr>
        <w:br/>
        <w:t>El expediente se promueve por D. Fernando Carnicero Ruiz, según escrito presentado con fecha 26-9-12, solicitando que se realice una modificación puntual del PGOU-01 vigente, a fin de que se descatalogue la edificación sita en calle Luis Miranda Dávalos núm. 2, conocida como “Casería de la Sartenilla”. </w:t>
      </w:r>
      <w:r w:rsidRPr="005C2A0B">
        <w:rPr>
          <w:rFonts w:ascii="Arial" w:eastAsia="Times New Roman" w:hAnsi="Arial" w:cs="Arial"/>
          <w:color w:val="000000"/>
          <w:sz w:val="20"/>
          <w:szCs w:val="20"/>
          <w:lang w:eastAsia="es-ES"/>
        </w:rPr>
        <w:br/>
      </w:r>
      <w:r w:rsidRPr="005C2A0B">
        <w:rPr>
          <w:rFonts w:ascii="Arial" w:eastAsia="Times New Roman" w:hAnsi="Arial" w:cs="Arial"/>
          <w:color w:val="000000"/>
          <w:sz w:val="20"/>
          <w:szCs w:val="20"/>
          <w:lang w:eastAsia="es-ES"/>
        </w:rPr>
        <w:br/>
        <w:t>Previamente a esta solicitud, por el interesado se solicitó a la Comisión Provincial de Patrimonio Histórico informe acerca de dicha descatalogación. Informe que fue emitido en la sesión ordinaria celebrada por dicha Comisión el pasado 19 de julio de 2012, y que se ha acompañado a la solicitud presentada, en el que se concluye que “no existe inconveniente en la descatalogación de la Casería de la Sartenilla por la pérdida de los valores que llevaron a su catalogación”. </w:t>
      </w:r>
      <w:r w:rsidRPr="005C2A0B">
        <w:rPr>
          <w:rFonts w:ascii="Arial" w:eastAsia="Times New Roman" w:hAnsi="Arial" w:cs="Arial"/>
          <w:color w:val="000000"/>
          <w:sz w:val="20"/>
          <w:szCs w:val="20"/>
          <w:lang w:eastAsia="es-ES"/>
        </w:rPr>
        <w:br/>
      </w:r>
      <w:r w:rsidRPr="005C2A0B">
        <w:rPr>
          <w:rFonts w:ascii="Arial" w:eastAsia="Times New Roman" w:hAnsi="Arial" w:cs="Arial"/>
          <w:color w:val="000000"/>
          <w:sz w:val="20"/>
          <w:szCs w:val="20"/>
          <w:lang w:eastAsia="es-ES"/>
        </w:rPr>
        <w:br/>
      </w:r>
      <w:r w:rsidRPr="005C2A0B">
        <w:rPr>
          <w:rFonts w:ascii="Arial" w:eastAsia="Times New Roman" w:hAnsi="Arial" w:cs="Arial"/>
          <w:color w:val="000000"/>
          <w:sz w:val="20"/>
          <w:szCs w:val="20"/>
          <w:lang w:eastAsia="es-ES"/>
        </w:rPr>
        <w:lastRenderedPageBreak/>
        <w:t>Además se aporta también estudio histórico-documental de la Casería de la Sartenilla realizado por la Historiadora del Arte, Dª Rosario Mª Pérez de la Torre. </w:t>
      </w:r>
      <w:r w:rsidRPr="005C2A0B">
        <w:rPr>
          <w:rFonts w:ascii="Arial" w:eastAsia="Times New Roman" w:hAnsi="Arial" w:cs="Arial"/>
          <w:color w:val="000000"/>
          <w:sz w:val="20"/>
          <w:szCs w:val="20"/>
          <w:lang w:eastAsia="es-ES"/>
        </w:rPr>
        <w:br/>
      </w:r>
      <w:r w:rsidRPr="005C2A0B">
        <w:rPr>
          <w:rFonts w:ascii="Arial" w:eastAsia="Times New Roman" w:hAnsi="Arial" w:cs="Arial"/>
          <w:color w:val="000000"/>
          <w:sz w:val="20"/>
          <w:szCs w:val="20"/>
          <w:lang w:eastAsia="es-ES"/>
        </w:rPr>
        <w:br/>
        <w:t>Cuenta con informe del Adjunto a la Subdirección de Planeamiento con fecha 5 de octubre de 2012, poniendo de manifiesto que “no existe inconveniente para la aprobación de la Modificación puntual del Catálogo para exclusión del mismo de la Casería de la Sartenilla, de acuerdo con lo señalado por el art. 11.2.2.3 de las Normas urbanísticas del PGOU.” </w:t>
      </w:r>
      <w:r w:rsidRPr="005C2A0B">
        <w:rPr>
          <w:rFonts w:ascii="Arial" w:eastAsia="Times New Roman" w:hAnsi="Arial" w:cs="Arial"/>
          <w:color w:val="000000"/>
          <w:sz w:val="20"/>
          <w:szCs w:val="20"/>
          <w:lang w:eastAsia="es-ES"/>
        </w:rPr>
        <w:br/>
      </w:r>
      <w:r w:rsidRPr="005C2A0B">
        <w:rPr>
          <w:rFonts w:ascii="Arial" w:eastAsia="Times New Roman" w:hAnsi="Arial" w:cs="Arial"/>
          <w:color w:val="000000"/>
          <w:sz w:val="20"/>
          <w:szCs w:val="20"/>
          <w:lang w:eastAsia="es-ES"/>
        </w:rPr>
        <w:br/>
        <w:t>Se trata de una modificación de la ordenación pormenorizada preceptiva y no estructural. </w:t>
      </w:r>
      <w:r w:rsidRPr="005C2A0B">
        <w:rPr>
          <w:rFonts w:ascii="Arial" w:eastAsia="Times New Roman" w:hAnsi="Arial" w:cs="Arial"/>
          <w:color w:val="000000"/>
          <w:sz w:val="20"/>
          <w:szCs w:val="20"/>
          <w:lang w:eastAsia="es-ES"/>
        </w:rPr>
        <w:br/>
      </w:r>
      <w:r w:rsidRPr="005C2A0B">
        <w:rPr>
          <w:rFonts w:ascii="Arial" w:eastAsia="Times New Roman" w:hAnsi="Arial" w:cs="Arial"/>
          <w:color w:val="000000"/>
          <w:sz w:val="20"/>
          <w:szCs w:val="20"/>
          <w:lang w:eastAsia="es-ES"/>
        </w:rPr>
        <w:br/>
        <w:t>El Ayuntamiento Pleno aprobó inicialmente la Innovación en su sesión ordinaria del 30 de noviembre de 2013, sometiéndose al procedimiento de información pública según publicación en el BOP nº 17 de 28 de enero de 2013 y anuncio en el Diario “Granada Hoy” de fecha 16 de enero de 2013. Asimismo, fue sometido a informe de la Junta Municipal de Distrito Beiro en su sesión de 28 de diciembre de 2012, sin que se presentaran alegaciones. </w:t>
      </w:r>
      <w:r w:rsidRPr="005C2A0B">
        <w:rPr>
          <w:rFonts w:ascii="Arial" w:eastAsia="Times New Roman" w:hAnsi="Arial" w:cs="Arial"/>
          <w:color w:val="000000"/>
          <w:sz w:val="20"/>
          <w:szCs w:val="20"/>
          <w:lang w:eastAsia="es-ES"/>
        </w:rPr>
        <w:br/>
      </w:r>
      <w:r w:rsidRPr="005C2A0B">
        <w:rPr>
          <w:rFonts w:ascii="Arial" w:eastAsia="Times New Roman" w:hAnsi="Arial" w:cs="Arial"/>
          <w:color w:val="000000"/>
          <w:sz w:val="20"/>
          <w:szCs w:val="20"/>
          <w:lang w:eastAsia="es-ES"/>
        </w:rPr>
        <w:br/>
        <w:t>Cuenta también con el informe favorable de la Consejería de Cultura de fecha 19 de marzo de 2013. </w:t>
      </w:r>
      <w:r w:rsidRPr="005C2A0B">
        <w:rPr>
          <w:rFonts w:ascii="Arial" w:eastAsia="Times New Roman" w:hAnsi="Arial" w:cs="Arial"/>
          <w:color w:val="000000"/>
          <w:sz w:val="20"/>
          <w:szCs w:val="20"/>
          <w:lang w:eastAsia="es-ES"/>
        </w:rPr>
        <w:br/>
      </w:r>
      <w:r w:rsidRPr="005C2A0B">
        <w:rPr>
          <w:rFonts w:ascii="Arial" w:eastAsia="Times New Roman" w:hAnsi="Arial" w:cs="Arial"/>
          <w:color w:val="000000"/>
          <w:sz w:val="20"/>
          <w:szCs w:val="20"/>
          <w:lang w:eastAsia="es-ES"/>
        </w:rPr>
        <w:br/>
        <w:t>Según informe jurídico, ante la ausencia de alegaciones, es innecesaria la aprobación provisional y procede tramitar la aprobación definitiva por el Pleno Municipal previo informe de la Consejería de Agricultura, competente en materia de Urbanismo. </w:t>
      </w:r>
      <w:r w:rsidRPr="005C2A0B">
        <w:rPr>
          <w:rFonts w:ascii="Arial" w:eastAsia="Times New Roman" w:hAnsi="Arial" w:cs="Arial"/>
          <w:color w:val="000000"/>
          <w:sz w:val="20"/>
          <w:szCs w:val="20"/>
          <w:lang w:eastAsia="es-ES"/>
        </w:rPr>
        <w:br/>
      </w:r>
      <w:r w:rsidRPr="005C2A0B">
        <w:rPr>
          <w:rFonts w:ascii="Arial" w:eastAsia="Times New Roman" w:hAnsi="Arial" w:cs="Arial"/>
          <w:color w:val="000000"/>
          <w:sz w:val="20"/>
          <w:szCs w:val="20"/>
          <w:lang w:eastAsia="es-ES"/>
        </w:rPr>
        <w:br/>
        <w:t>El informe de la Consejería de Agricultura, emitido con fecha 13 de mayo de 2013, indicaba algunos aspectos a subsanar, lo que se notificó al interesado. </w:t>
      </w:r>
      <w:r w:rsidRPr="005C2A0B">
        <w:rPr>
          <w:rFonts w:ascii="Arial" w:eastAsia="Times New Roman" w:hAnsi="Arial" w:cs="Arial"/>
          <w:color w:val="000000"/>
          <w:sz w:val="20"/>
          <w:szCs w:val="20"/>
          <w:lang w:eastAsia="es-ES"/>
        </w:rPr>
        <w:br/>
      </w:r>
      <w:r w:rsidRPr="005C2A0B">
        <w:rPr>
          <w:rFonts w:ascii="Arial" w:eastAsia="Times New Roman" w:hAnsi="Arial" w:cs="Arial"/>
          <w:color w:val="000000"/>
          <w:sz w:val="20"/>
          <w:szCs w:val="20"/>
          <w:lang w:eastAsia="es-ES"/>
        </w:rPr>
        <w:br/>
        <w:t>Presentada nueva documentación, el Subdirector de Planeamiento emite informe indicando que se han subsanado los aspectos indicados en el Informe de la Consejería de Agricultura. </w:t>
      </w:r>
      <w:r w:rsidRPr="005C2A0B">
        <w:rPr>
          <w:rFonts w:ascii="Arial" w:eastAsia="Times New Roman" w:hAnsi="Arial" w:cs="Arial"/>
          <w:color w:val="000000"/>
          <w:sz w:val="20"/>
          <w:szCs w:val="20"/>
          <w:lang w:eastAsia="es-ES"/>
        </w:rPr>
        <w:br/>
        <w:t>Durante el transcurso del debate se producen las siguientes intervenciones. </w:t>
      </w:r>
      <w:r w:rsidRPr="005C2A0B">
        <w:rPr>
          <w:rFonts w:ascii="Arial" w:eastAsia="Times New Roman" w:hAnsi="Arial" w:cs="Arial"/>
          <w:color w:val="000000"/>
          <w:sz w:val="20"/>
          <w:szCs w:val="20"/>
          <w:lang w:eastAsia="es-ES"/>
        </w:rPr>
        <w:br/>
      </w:r>
      <w:r w:rsidRPr="005C2A0B">
        <w:rPr>
          <w:rFonts w:ascii="Arial" w:eastAsia="Times New Roman" w:hAnsi="Arial" w:cs="Arial"/>
          <w:color w:val="000000"/>
          <w:sz w:val="20"/>
          <w:szCs w:val="20"/>
          <w:lang w:eastAsia="es-ES"/>
        </w:rPr>
        <w:br/>
        <w:t>Tras ello se somete a votación el expediente, obteniéndose el siguiente resultado: </w:t>
      </w:r>
      <w:r w:rsidRPr="005C2A0B">
        <w:rPr>
          <w:rFonts w:ascii="Arial" w:eastAsia="Times New Roman" w:hAnsi="Arial" w:cs="Arial"/>
          <w:color w:val="000000"/>
          <w:sz w:val="20"/>
          <w:szCs w:val="20"/>
          <w:lang w:eastAsia="es-ES"/>
        </w:rPr>
        <w:br/>
        <w:t>-16 votos a favor emitidos por los 15 Corporativos presentes del Grupo Municipal Popular, Sres./Sras.: D. José Torres Hurtado, Dª Isabel María Nieto Pérez, D. Fernando Arcadio Egea Fernández-Montesinos, D. Juan Antonio Mérida Velasco, D. Juan Antonio Fuentes Gálvez, D. Juan Manuel García Montero, Dª María Telesfora Ruiz Rodríguez, D. Ruyman Francisco Ledesma Palomino, D. Vicente Aguilera Lupiáñez, Dª María Francés Barrientos, D. Antonio Jesús Granados García, Dª María Rocío Díaz Jiménez, </w:t>
      </w:r>
      <w:r w:rsidRPr="005C2A0B">
        <w:rPr>
          <w:rFonts w:ascii="Arial" w:eastAsia="Times New Roman" w:hAnsi="Arial" w:cs="Arial"/>
          <w:color w:val="000000"/>
          <w:sz w:val="20"/>
          <w:szCs w:val="20"/>
          <w:lang w:eastAsia="es-ES"/>
        </w:rPr>
        <w:br/>
        <w:t>D. Jorge Saavedra Requena, D. Juan Francisco Gutiérrez Martínez y D. Eduardo Caracuel Romero y la Corporativa del Grupo Municipal UPyD, Dª María Teresa Olalla Olmo. </w:t>
      </w:r>
      <w:r w:rsidRPr="005C2A0B">
        <w:rPr>
          <w:rFonts w:ascii="Arial" w:eastAsia="Times New Roman" w:hAnsi="Arial" w:cs="Arial"/>
          <w:color w:val="000000"/>
          <w:sz w:val="20"/>
          <w:szCs w:val="20"/>
          <w:lang w:eastAsia="es-ES"/>
        </w:rPr>
        <w:br/>
        <w:t>-2 votos en contra emitidos por los Corporativos del Grupo Municipal I.U-L.V.-C.A., Sr./Sra.: D. Francisco Puentedura Anllo y Dª María Teresa Molina Navarro. </w:t>
      </w:r>
      <w:r w:rsidRPr="005C2A0B">
        <w:rPr>
          <w:rFonts w:ascii="Arial" w:eastAsia="Times New Roman" w:hAnsi="Arial" w:cs="Arial"/>
          <w:color w:val="000000"/>
          <w:sz w:val="20"/>
          <w:szCs w:val="20"/>
          <w:lang w:eastAsia="es-ES"/>
        </w:rPr>
        <w:br/>
        <w:t>-7 abstenciones emitidas por los Corporativos presentes del Grupo Municipal Socialista, Sres./Sras.: D. Francisco Cuenca Rodríguez, D. José María Rueda Gómez, Dª María Raquel Ruz Peis, D. Baldomero Oliver León, Dª Ana María Muñoz Arquelladas, D. Miguel Angel Fernández Madrid y Dª Jemima Sánchez Iborra. </w:t>
      </w:r>
      <w:r w:rsidRPr="005C2A0B">
        <w:rPr>
          <w:rFonts w:ascii="Arial" w:eastAsia="Times New Roman" w:hAnsi="Arial" w:cs="Arial"/>
          <w:color w:val="000000"/>
          <w:sz w:val="20"/>
          <w:szCs w:val="20"/>
          <w:lang w:eastAsia="es-ES"/>
        </w:rPr>
        <w:br/>
      </w:r>
      <w:r w:rsidRPr="005C2A0B">
        <w:rPr>
          <w:rFonts w:ascii="Arial" w:eastAsia="Times New Roman" w:hAnsi="Arial" w:cs="Arial"/>
          <w:color w:val="000000"/>
          <w:sz w:val="20"/>
          <w:szCs w:val="20"/>
          <w:lang w:eastAsia="es-ES"/>
        </w:rPr>
        <w:br/>
        <w:t xml:space="preserve">En consecuencia, aceptando dictamen de la Comisión Municipal de Urbanismo y Obras, de </w:t>
      </w:r>
      <w:r w:rsidRPr="005C2A0B">
        <w:rPr>
          <w:rFonts w:ascii="Arial" w:eastAsia="Times New Roman" w:hAnsi="Arial" w:cs="Arial"/>
          <w:color w:val="000000"/>
          <w:sz w:val="20"/>
          <w:szCs w:val="20"/>
          <w:lang w:eastAsia="es-ES"/>
        </w:rPr>
        <w:lastRenderedPageBreak/>
        <w:t>fecha 16 de julio de 2013, a tenor de lo dispuesto en los artículos 32.1.2ª y 36 de la Ley 7/2002, de 17 de diciembre, de Ordenación Urbanística de Andalucía, y artículo 123.1.i) de la Ley 7/1985, de 2 de abril, reguladora de las Bases de Régimen Local, en su nueva redacción dada por Ley 57/2003, de 16 de diciembre, de medidas para la modernización del gobierno local (BOE nº 301 de 17/12/03), el Ayuntamiento Pleno, en base a propuesta del Coordinador General, de fecha 11 de julio, conformada por la Concejala Delegada de Urbanismo, Obras y Licencias, acuerda por mayoría (16 votos a favor, 2 votos en contra y 7 abstenciones) y por tanto con el quórum de la mayoría absoluta del número legal de miembros de la Corporación: </w:t>
      </w:r>
      <w:r w:rsidRPr="005C2A0B">
        <w:rPr>
          <w:rFonts w:ascii="Arial" w:eastAsia="Times New Roman" w:hAnsi="Arial" w:cs="Arial"/>
          <w:color w:val="000000"/>
          <w:sz w:val="20"/>
          <w:szCs w:val="20"/>
          <w:lang w:eastAsia="es-ES"/>
        </w:rPr>
        <w:br/>
        <w:t>PRIMERO.- Aprobar definitivamente la Innovación-Modificación Puntual del Plan General de Ordenación Urbanística de Granada para descatalogación de “Casería de la Sartenilla” en calle Luis Miranda Dávalos núm. 2, fundamentado en el estudio histórico-documental realizado por la Historiadora Dª Rosa María Pérez de la Torre de fecha abril 2012.</w:t>
      </w:r>
      <w:r w:rsidRPr="005C2A0B">
        <w:rPr>
          <w:rFonts w:ascii="Arial" w:eastAsia="Times New Roman" w:hAnsi="Arial" w:cs="Arial"/>
          <w:color w:val="000000"/>
          <w:sz w:val="20"/>
          <w:szCs w:val="20"/>
          <w:lang w:eastAsia="es-ES"/>
        </w:rPr>
        <w:br/>
      </w:r>
      <w:r w:rsidRPr="005C2A0B">
        <w:rPr>
          <w:rFonts w:ascii="Arial" w:eastAsia="Times New Roman" w:hAnsi="Arial" w:cs="Arial"/>
          <w:color w:val="000000"/>
          <w:sz w:val="20"/>
          <w:szCs w:val="20"/>
          <w:lang w:eastAsia="es-ES"/>
        </w:rPr>
        <w:br/>
        <w:t>SEGUNDO.- Remitir el certificado del acuerdo de aprobación definitiva y el documento técnico completo, aprobado definitivamente, para que se proceda a su depósito tanto en el Registro Municipal de Instrumentos de Planeamiento, Convenios Urbanísticos y Bienes y Espacios Catalogados, como el de la Delegación Provincial de la Consejería de Obras Públicas y Vivienda, según se recoge en el artículo 40.2 de la LOUA y 19 del Decreto 2/2004, de 7 de enero, por el que se regulan los registros administrativos de instrumentos de planeamiento, de convenios urbanísticos y de los bienes y espacios catalogados, y se crea el Registro Autonómico. </w:t>
      </w:r>
      <w:r w:rsidRPr="005C2A0B">
        <w:rPr>
          <w:rFonts w:ascii="Arial" w:eastAsia="Times New Roman" w:hAnsi="Arial" w:cs="Arial"/>
          <w:color w:val="000000"/>
          <w:sz w:val="20"/>
          <w:szCs w:val="20"/>
          <w:lang w:eastAsia="es-ES"/>
        </w:rPr>
        <w:br/>
      </w:r>
      <w:r w:rsidRPr="005C2A0B">
        <w:rPr>
          <w:rFonts w:ascii="Arial" w:eastAsia="Times New Roman" w:hAnsi="Arial" w:cs="Arial"/>
          <w:color w:val="000000"/>
          <w:sz w:val="20"/>
          <w:szCs w:val="20"/>
          <w:lang w:eastAsia="es-ES"/>
        </w:rPr>
        <w:br/>
        <w:t>TERCERO.- Una vez cumplimentado el punto anterior mediante su depósito, y se haya emitido la correspondiente Certificación Registral en el plazo de diez días, según se recoge en los artículos 20 y 22 del Decreto 2/2004, de 7 de enero, se procederá a la publicación del presente acuerdo en el Boletín Oficial de la Provincia, de la forma prevista en el artículo 70.2 de la Ley 7/1985, de 2 de abril, y artículos 40.3 y 41.1 de la LOUA.” </w:t>
      </w:r>
      <w:r w:rsidRPr="005C2A0B">
        <w:rPr>
          <w:rFonts w:ascii="Arial" w:eastAsia="Times New Roman" w:hAnsi="Arial" w:cs="Arial"/>
          <w:color w:val="000000"/>
          <w:sz w:val="20"/>
          <w:szCs w:val="20"/>
          <w:lang w:eastAsia="es-ES"/>
        </w:rPr>
        <w:br/>
      </w:r>
      <w:r w:rsidRPr="005C2A0B">
        <w:rPr>
          <w:rFonts w:ascii="Arial" w:eastAsia="Times New Roman" w:hAnsi="Arial" w:cs="Arial"/>
          <w:color w:val="000000"/>
          <w:sz w:val="20"/>
          <w:szCs w:val="20"/>
          <w:lang w:eastAsia="es-ES"/>
        </w:rPr>
        <w:br/>
        <w:t>Por lo que en cumplimiento de lo establecido en el artículo 41.1 de la Ley 7/2002, de 17 de diciembre, de Ordenación Urbanística de Andalucía, se hace público para general conocimiento indicando que contra el anterior acuerdo, que pone fin a la vía administrativa, se podrá interponer con carácter potestativo recurso de reposición, en el plazo de un mes a contar desde el día siguiente a la publicación del presente edicto en el Boletín Oficial de la Provincia, ante el Pleno Municipal; o bien directamente el recurso contencioso-administrativo, ante la Sala de lo Contencioso Administrativo con sede en Granada, del Tribunal Superior de Justicia de Andalucía, en el plazo de dos meses a contar igualmente desde el día siguiente a su publicación en BOP. </w:t>
      </w:r>
      <w:r w:rsidRPr="005C2A0B">
        <w:rPr>
          <w:rFonts w:ascii="Arial" w:eastAsia="Times New Roman" w:hAnsi="Arial" w:cs="Arial"/>
          <w:color w:val="000000"/>
          <w:sz w:val="20"/>
          <w:szCs w:val="20"/>
          <w:lang w:eastAsia="es-ES"/>
        </w:rPr>
        <w:br/>
      </w:r>
      <w:r w:rsidRPr="005C2A0B">
        <w:rPr>
          <w:rFonts w:ascii="Arial" w:eastAsia="Times New Roman" w:hAnsi="Arial" w:cs="Arial"/>
          <w:color w:val="000000"/>
          <w:sz w:val="20"/>
          <w:szCs w:val="20"/>
          <w:lang w:eastAsia="es-ES"/>
        </w:rPr>
        <w:br/>
        <w:t>En el caso de interponerse el recurso de reposición con carácter potestativo, no se podrá interponer el recurso contencioso administrativo, sino hasta la resolución expresa o presunta del mismo. No obstante, podrá utilizar cualquier otro recurso o medio de impugnación que considere conveniente. </w:t>
      </w:r>
      <w:r w:rsidRPr="005C2A0B">
        <w:rPr>
          <w:rFonts w:ascii="Arial" w:eastAsia="Times New Roman" w:hAnsi="Arial" w:cs="Arial"/>
          <w:color w:val="000000"/>
          <w:sz w:val="20"/>
          <w:szCs w:val="20"/>
          <w:lang w:eastAsia="es-ES"/>
        </w:rPr>
        <w:br/>
      </w:r>
      <w:r w:rsidRPr="005C2A0B">
        <w:rPr>
          <w:rFonts w:ascii="Arial" w:eastAsia="Times New Roman" w:hAnsi="Arial" w:cs="Arial"/>
          <w:color w:val="000000"/>
          <w:sz w:val="20"/>
          <w:szCs w:val="20"/>
          <w:lang w:eastAsia="es-ES"/>
        </w:rPr>
        <w:br/>
        <w:t>Granada, 13 de noviembre de 2013.-La Concejala de Urbanismo, Obras y Licencias, fdo.: Isabel Nieto Pérez. </w:t>
      </w:r>
    </w:p>
    <w:p w:rsidR="005C2A0B" w:rsidRDefault="005C2A0B" w:rsidP="005C2A0B"/>
    <w:sectPr w:rsidR="005C2A0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A0B"/>
    <w:rsid w:val="005C2A0B"/>
    <w:rsid w:val="008176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6F5B3D-0F15-4379-A05D-2418D612D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C2A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187166">
      <w:bodyDiv w:val="1"/>
      <w:marLeft w:val="0"/>
      <w:marRight w:val="0"/>
      <w:marTop w:val="0"/>
      <w:marBottom w:val="0"/>
      <w:divBdr>
        <w:top w:val="none" w:sz="0" w:space="0" w:color="auto"/>
        <w:left w:val="none" w:sz="0" w:space="0" w:color="auto"/>
        <w:bottom w:val="none" w:sz="0" w:space="0" w:color="auto"/>
        <w:right w:val="none" w:sz="0" w:space="0" w:color="auto"/>
      </w:divBdr>
      <w:divsChild>
        <w:div w:id="436557397">
          <w:marLeft w:val="0"/>
          <w:marRight w:val="0"/>
          <w:marTop w:val="0"/>
          <w:marBottom w:val="0"/>
          <w:divBdr>
            <w:top w:val="none" w:sz="0" w:space="0" w:color="auto"/>
            <w:left w:val="none" w:sz="0" w:space="0" w:color="auto"/>
            <w:bottom w:val="dotted" w:sz="6" w:space="8" w:color="000000"/>
            <w:right w:val="none" w:sz="0" w:space="0" w:color="auto"/>
          </w:divBdr>
          <w:divsChild>
            <w:div w:id="1500190639">
              <w:marLeft w:val="0"/>
              <w:marRight w:val="0"/>
              <w:marTop w:val="0"/>
              <w:marBottom w:val="0"/>
              <w:divBdr>
                <w:top w:val="outset" w:sz="12" w:space="0" w:color="A0A0A0"/>
                <w:left w:val="outset" w:sz="12" w:space="0" w:color="A0A0A0"/>
                <w:bottom w:val="outset" w:sz="12" w:space="0" w:color="A0A0A0"/>
                <w:right w:val="outset" w:sz="12" w:space="0" w:color="A0A0A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hyperlink" Target="http://www.granada.org/inet/edictos.nsf/vervis?open&amp;view=wwentidad&amp;key=Ayuntamiento%20de%20Granada(Urbanismo,%20Obras%20y%20Licencias)" TargetMode="External"/><Relationship Id="rId4" Type="http://schemas.openxmlformats.org/officeDocument/2006/relationships/hyperlink" Target="http://www.granada.org/inet/edictos.nsf/wwtod/A5A5E109A4899F6EC1257C35002E0CD3"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1389</Words>
  <Characters>7640</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Jimenez</dc:creator>
  <cp:keywords/>
  <dc:description/>
  <cp:lastModifiedBy>Manuel Jimenez</cp:lastModifiedBy>
  <cp:revision>1</cp:revision>
  <dcterms:created xsi:type="dcterms:W3CDTF">2013-12-16T14:49:00Z</dcterms:created>
  <dcterms:modified xsi:type="dcterms:W3CDTF">2013-12-16T14:54:00Z</dcterms:modified>
</cp:coreProperties>
</file>